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395F" w14:textId="6352619D" w:rsidR="00516513" w:rsidRPr="00235F07" w:rsidRDefault="00516513" w:rsidP="0051651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Candara" w:hAnsi="Candara"/>
          <w:b/>
          <w:bCs/>
          <w:sz w:val="24"/>
          <w:szCs w:val="24"/>
        </w:rPr>
      </w:pPr>
      <w:r w:rsidRPr="00235F07">
        <w:rPr>
          <w:rFonts w:ascii="Candara" w:hAnsi="Candara"/>
          <w:b/>
          <w:bCs/>
          <w:sz w:val="24"/>
          <w:szCs w:val="24"/>
        </w:rPr>
        <w:t xml:space="preserve">The funding bodies invite views from institutions and disciplinary communities on any disciplinary developments since REF 2021 that would require changes to be made to the UOA </w:t>
      </w:r>
      <w:proofErr w:type="gramStart"/>
      <w:r w:rsidRPr="00235F07">
        <w:rPr>
          <w:rFonts w:ascii="Candara" w:hAnsi="Candara"/>
          <w:b/>
          <w:bCs/>
          <w:sz w:val="24"/>
          <w:szCs w:val="24"/>
        </w:rPr>
        <w:t>structure</w:t>
      </w:r>
      <w:proofErr w:type="gramEnd"/>
    </w:p>
    <w:p w14:paraId="0A5BFF05" w14:textId="75C34F50" w:rsidR="00631C02" w:rsidRPr="00235F07" w:rsidRDefault="00516513" w:rsidP="0051651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Candara" w:hAnsi="Candara" w:cs="Arial"/>
          <w:sz w:val="24"/>
          <w:szCs w:val="24"/>
          <w:shd w:val="clear" w:color="auto" w:fill="FFFFFF"/>
        </w:rPr>
      </w:pPr>
      <w:r w:rsidRPr="00235F07">
        <w:rPr>
          <w:rFonts w:ascii="Candara" w:hAnsi="Candara"/>
          <w:sz w:val="24"/>
          <w:szCs w:val="24"/>
        </w:rPr>
        <w:t xml:space="preserve">Health services research </w:t>
      </w:r>
      <w:r w:rsidR="00631C02" w:rsidRPr="00235F07">
        <w:rPr>
          <w:rFonts w:ascii="Candara" w:hAnsi="Candara"/>
          <w:sz w:val="24"/>
          <w:szCs w:val="24"/>
        </w:rPr>
        <w:t>has been defined as ‘</w:t>
      </w:r>
      <w:r w:rsidR="00631C02" w:rsidRPr="00235F07">
        <w:rPr>
          <w:rFonts w:ascii="Candara" w:eastAsia="Times New Roman" w:hAnsi="Candara" w:cs="Calibri"/>
          <w:color w:val="000000"/>
          <w:kern w:val="0"/>
          <w:sz w:val="24"/>
          <w:szCs w:val="24"/>
          <w:lang w:eastAsia="en-GB"/>
          <w14:ligatures w14:val="none"/>
        </w:rPr>
        <w:t>the discipline which seeks to ‘</w:t>
      </w:r>
      <w:r w:rsidR="00631C02" w:rsidRPr="00235F07">
        <w:rPr>
          <w:rFonts w:ascii="Candara" w:hAnsi="Candara" w:cs="Arial"/>
          <w:color w:val="202122"/>
          <w:sz w:val="24"/>
          <w:szCs w:val="24"/>
          <w:shd w:val="clear" w:color="auto" w:fill="FFFFFF"/>
        </w:rPr>
        <w:t>identify the most effective ways to organize, manage, finance, and deliver high quality care; reduce medical errors; and improve </w:t>
      </w:r>
      <w:r w:rsidR="00631C02" w:rsidRPr="00235F07">
        <w:rPr>
          <w:rFonts w:ascii="Candara" w:hAnsi="Candara" w:cs="Arial"/>
          <w:sz w:val="24"/>
          <w:szCs w:val="24"/>
          <w:shd w:val="clear" w:color="auto" w:fill="FFFFFF"/>
        </w:rPr>
        <w:t xml:space="preserve">patient safety’. </w:t>
      </w:r>
      <w:r w:rsidR="00235F07" w:rsidRPr="00235F07">
        <w:rPr>
          <w:rFonts w:ascii="Candara" w:hAnsi="Candara" w:cs="Arial"/>
          <w:sz w:val="24"/>
          <w:szCs w:val="24"/>
          <w:shd w:val="clear" w:color="auto" w:fill="FFFFFF"/>
        </w:rPr>
        <w:t>As the health care system grows more complicated and more fully integrated with other aspects of public services (such as social care and education), i</w:t>
      </w:r>
      <w:r w:rsidR="00631C02" w:rsidRPr="00235F07">
        <w:rPr>
          <w:rFonts w:ascii="Candara" w:hAnsi="Candara" w:cs="Arial"/>
          <w:sz w:val="24"/>
          <w:szCs w:val="24"/>
          <w:shd w:val="clear" w:color="auto" w:fill="FFFFFF"/>
        </w:rPr>
        <w:t xml:space="preserve">t </w:t>
      </w:r>
      <w:r w:rsidR="00235F07" w:rsidRPr="00235F07">
        <w:rPr>
          <w:rFonts w:ascii="Candara" w:hAnsi="Candara" w:cs="Arial"/>
          <w:sz w:val="24"/>
          <w:szCs w:val="24"/>
          <w:shd w:val="clear" w:color="auto" w:fill="FFFFFF"/>
        </w:rPr>
        <w:t xml:space="preserve">increasingly </w:t>
      </w:r>
      <w:r w:rsidR="00631C02" w:rsidRPr="00235F07">
        <w:rPr>
          <w:rFonts w:ascii="Candara" w:hAnsi="Candara" w:cs="Arial"/>
          <w:sz w:val="24"/>
          <w:szCs w:val="24"/>
          <w:shd w:val="clear" w:color="auto" w:fill="FFFFFF"/>
        </w:rPr>
        <w:t xml:space="preserve">involves different disciplines and draws on a very wide range of methods. </w:t>
      </w:r>
    </w:p>
    <w:p w14:paraId="3E963562" w14:textId="02DEA4AE" w:rsidR="00631C02" w:rsidRPr="00235F07" w:rsidRDefault="00631C02" w:rsidP="0051651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Candara" w:hAnsi="Candara"/>
          <w:sz w:val="24"/>
          <w:szCs w:val="24"/>
        </w:rPr>
      </w:pPr>
      <w:r w:rsidRPr="00235F07">
        <w:rPr>
          <w:rFonts w:ascii="Candara" w:hAnsi="Candara"/>
          <w:sz w:val="24"/>
          <w:szCs w:val="24"/>
        </w:rPr>
        <w:t xml:space="preserve">At present, health services research is specifically named in the descriptor of UoA2, although </w:t>
      </w:r>
      <w:r w:rsidR="00235F07" w:rsidRPr="00235F07">
        <w:rPr>
          <w:rFonts w:ascii="Candara" w:hAnsi="Candara"/>
          <w:sz w:val="24"/>
          <w:szCs w:val="24"/>
        </w:rPr>
        <w:t>health services research</w:t>
      </w:r>
      <w:r w:rsidR="00235F07" w:rsidRPr="00235F07">
        <w:rPr>
          <w:rFonts w:ascii="Candara" w:hAnsi="Candara"/>
          <w:sz w:val="24"/>
          <w:szCs w:val="24"/>
        </w:rPr>
        <w:t xml:space="preserve">ers are often </w:t>
      </w:r>
      <w:r w:rsidRPr="00235F07">
        <w:rPr>
          <w:rFonts w:ascii="Candara" w:hAnsi="Candara"/>
          <w:sz w:val="24"/>
          <w:szCs w:val="24"/>
        </w:rPr>
        <w:t>return</w:t>
      </w:r>
      <w:r w:rsidR="00235F07" w:rsidRPr="00235F07">
        <w:rPr>
          <w:rFonts w:ascii="Candara" w:hAnsi="Candara"/>
          <w:sz w:val="24"/>
          <w:szCs w:val="24"/>
        </w:rPr>
        <w:t xml:space="preserve">ed </w:t>
      </w:r>
      <w:r w:rsidRPr="00235F07">
        <w:rPr>
          <w:rFonts w:ascii="Candara" w:hAnsi="Candara"/>
          <w:sz w:val="24"/>
          <w:szCs w:val="24"/>
        </w:rPr>
        <w:t xml:space="preserve">in </w:t>
      </w:r>
      <w:r w:rsidR="00235F07" w:rsidRPr="00235F07">
        <w:rPr>
          <w:rFonts w:ascii="Candara" w:hAnsi="Candara"/>
          <w:sz w:val="24"/>
          <w:szCs w:val="24"/>
        </w:rPr>
        <w:t xml:space="preserve">other </w:t>
      </w:r>
      <w:r w:rsidRPr="00235F07">
        <w:rPr>
          <w:rFonts w:ascii="Candara" w:hAnsi="Candara"/>
          <w:sz w:val="24"/>
          <w:szCs w:val="24"/>
        </w:rPr>
        <w:t>UoAs</w:t>
      </w:r>
      <w:r w:rsidR="00235F07" w:rsidRPr="00235F07">
        <w:rPr>
          <w:rFonts w:ascii="Candara" w:hAnsi="Candara"/>
          <w:sz w:val="24"/>
          <w:szCs w:val="24"/>
        </w:rPr>
        <w:t xml:space="preserve">, including those </w:t>
      </w:r>
      <w:r w:rsidRPr="00235F07">
        <w:rPr>
          <w:rFonts w:ascii="Candara" w:hAnsi="Candara"/>
          <w:sz w:val="24"/>
          <w:szCs w:val="24"/>
        </w:rPr>
        <w:t xml:space="preserve">related to social policy, </w:t>
      </w:r>
      <w:proofErr w:type="gramStart"/>
      <w:r w:rsidRPr="00235F07">
        <w:rPr>
          <w:rFonts w:ascii="Candara" w:hAnsi="Candara"/>
          <w:sz w:val="24"/>
          <w:szCs w:val="24"/>
        </w:rPr>
        <w:t>management</w:t>
      </w:r>
      <w:proofErr w:type="gramEnd"/>
      <w:r w:rsidRPr="00235F07">
        <w:rPr>
          <w:rFonts w:ascii="Candara" w:hAnsi="Candara"/>
          <w:sz w:val="24"/>
          <w:szCs w:val="24"/>
        </w:rPr>
        <w:t xml:space="preserve"> and nursing. </w:t>
      </w:r>
    </w:p>
    <w:p w14:paraId="1DAAF660" w14:textId="1D80151D" w:rsidR="00631C02" w:rsidRPr="00235F07" w:rsidRDefault="00631C02" w:rsidP="00631C02">
      <w:pPr>
        <w:shd w:val="clear" w:color="auto" w:fill="FFFFFF"/>
        <w:spacing w:beforeAutospacing="1" w:after="0" w:afterAutospacing="1" w:line="240" w:lineRule="auto"/>
        <w:rPr>
          <w:rFonts w:ascii="Candara" w:hAnsi="Candara"/>
          <w:sz w:val="24"/>
          <w:szCs w:val="24"/>
        </w:rPr>
      </w:pPr>
      <w:r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</w:t>
      </w:r>
      <w:r w:rsidR="00516513"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n UoA2</w:t>
      </w:r>
      <w:r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, </w:t>
      </w:r>
      <w:r w:rsidRPr="00235F07">
        <w:rPr>
          <w:rFonts w:ascii="Candara" w:hAnsi="Candara"/>
          <w:sz w:val="24"/>
          <w:szCs w:val="24"/>
        </w:rPr>
        <w:t xml:space="preserve">health services research sits alongside </w:t>
      </w:r>
      <w:r w:rsidR="00516513"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public health and primary care</w:t>
      </w:r>
      <w:r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, and there is a perception that </w:t>
      </w:r>
      <w:r w:rsid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UoA2 returns are </w:t>
      </w:r>
      <w:r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domina</w:t>
      </w:r>
      <w:r w:rsid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ted by </w:t>
      </w:r>
      <w:r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certain methods (especially trials and large dataset analyses). There is a risk that, in the context of such dominance, the wider suite of methods used in </w:t>
      </w:r>
      <w:r w:rsidRPr="00235F07">
        <w:rPr>
          <w:rFonts w:ascii="Candara" w:hAnsi="Candara"/>
          <w:sz w:val="24"/>
          <w:szCs w:val="24"/>
        </w:rPr>
        <w:t xml:space="preserve">health services research (such as qualitative research and non-experimental evaluation) may be downgraded in the REF </w:t>
      </w:r>
      <w:r w:rsidR="00235F07" w:rsidRPr="00235F07">
        <w:rPr>
          <w:rFonts w:ascii="Candara" w:hAnsi="Candara"/>
          <w:sz w:val="24"/>
          <w:szCs w:val="24"/>
        </w:rPr>
        <w:t>process or</w:t>
      </w:r>
      <w:r w:rsidRPr="00235F07">
        <w:rPr>
          <w:rFonts w:ascii="Candara" w:hAnsi="Candara"/>
          <w:sz w:val="24"/>
          <w:szCs w:val="24"/>
        </w:rPr>
        <w:t xml:space="preserve"> may be filtered out by institutions</w:t>
      </w:r>
      <w:r w:rsidR="00235F07">
        <w:rPr>
          <w:rFonts w:ascii="Candara" w:hAnsi="Candara"/>
          <w:sz w:val="24"/>
          <w:szCs w:val="24"/>
        </w:rPr>
        <w:t xml:space="preserve"> prior to s</w:t>
      </w:r>
      <w:r w:rsidRPr="00235F07">
        <w:rPr>
          <w:rFonts w:ascii="Candara" w:hAnsi="Candara"/>
          <w:sz w:val="24"/>
          <w:szCs w:val="24"/>
        </w:rPr>
        <w:t>ubmission because of assumptions about how they might b</w:t>
      </w:r>
      <w:r w:rsidR="00235F07">
        <w:rPr>
          <w:rFonts w:ascii="Candara" w:hAnsi="Candara"/>
          <w:sz w:val="24"/>
          <w:szCs w:val="24"/>
        </w:rPr>
        <w:t xml:space="preserve">e assessed. </w:t>
      </w:r>
      <w:r w:rsidRPr="00235F07">
        <w:rPr>
          <w:rFonts w:ascii="Candara" w:hAnsi="Candara"/>
          <w:sz w:val="24"/>
          <w:szCs w:val="24"/>
        </w:rPr>
        <w:t xml:space="preserve"> </w:t>
      </w:r>
    </w:p>
    <w:p w14:paraId="23D1656D" w14:textId="438D6803" w:rsidR="00631C02" w:rsidRPr="00235F07" w:rsidRDefault="00631C02" w:rsidP="00631C02">
      <w:pPr>
        <w:shd w:val="clear" w:color="auto" w:fill="FFFFFF"/>
        <w:spacing w:beforeAutospacing="1" w:after="0" w:afterAutospacing="1" w:line="240" w:lineRule="auto"/>
        <w:rPr>
          <w:rFonts w:ascii="Candara" w:hAnsi="Candara"/>
          <w:sz w:val="24"/>
          <w:szCs w:val="24"/>
        </w:rPr>
      </w:pPr>
      <w:r w:rsidRPr="00235F07">
        <w:rPr>
          <w:rFonts w:ascii="Candara" w:hAnsi="Candara"/>
          <w:sz w:val="24"/>
          <w:szCs w:val="24"/>
        </w:rPr>
        <w:t xml:space="preserve">We think it is appropriate that REF allows flexibility </w:t>
      </w:r>
      <w:r w:rsidR="00235F07">
        <w:rPr>
          <w:rFonts w:ascii="Candara" w:hAnsi="Candara"/>
          <w:sz w:val="24"/>
          <w:szCs w:val="24"/>
        </w:rPr>
        <w:t xml:space="preserve">in terms of </w:t>
      </w:r>
      <w:r w:rsidRPr="00235F07">
        <w:rPr>
          <w:rFonts w:ascii="Candara" w:hAnsi="Candara"/>
          <w:sz w:val="24"/>
          <w:szCs w:val="24"/>
        </w:rPr>
        <w:t>where health services research is returned, and</w:t>
      </w:r>
      <w:r w:rsidR="00235F07">
        <w:rPr>
          <w:rFonts w:ascii="Candara" w:hAnsi="Candara"/>
          <w:sz w:val="24"/>
          <w:szCs w:val="24"/>
        </w:rPr>
        <w:t xml:space="preserve"> do not think that a </w:t>
      </w:r>
      <w:r w:rsidRPr="00235F07">
        <w:rPr>
          <w:rFonts w:ascii="Candara" w:hAnsi="Candara"/>
          <w:sz w:val="24"/>
          <w:szCs w:val="24"/>
        </w:rPr>
        <w:t xml:space="preserve">fundamental change to REF structures </w:t>
      </w:r>
      <w:r w:rsidR="00235F07">
        <w:rPr>
          <w:rFonts w:ascii="Candara" w:hAnsi="Candara"/>
          <w:sz w:val="24"/>
          <w:szCs w:val="24"/>
        </w:rPr>
        <w:t>8is required</w:t>
      </w:r>
      <w:r w:rsidRPr="00235F07">
        <w:rPr>
          <w:rFonts w:ascii="Candara" w:hAnsi="Candara"/>
          <w:sz w:val="24"/>
          <w:szCs w:val="24"/>
        </w:rPr>
        <w:t xml:space="preserve">. </w:t>
      </w:r>
    </w:p>
    <w:p w14:paraId="6E7EEEA0" w14:textId="02C88371" w:rsidR="00631C02" w:rsidRPr="00235F07" w:rsidRDefault="00631C02" w:rsidP="00C96866">
      <w:pPr>
        <w:shd w:val="clear" w:color="auto" w:fill="FFFFFF"/>
        <w:spacing w:after="0" w:line="240" w:lineRule="auto"/>
        <w:rPr>
          <w:rFonts w:ascii="Candara" w:hAnsi="Candara"/>
          <w:sz w:val="24"/>
          <w:szCs w:val="24"/>
        </w:rPr>
      </w:pPr>
      <w:r w:rsidRPr="00235F07">
        <w:rPr>
          <w:rFonts w:ascii="Candara" w:hAnsi="Candara"/>
          <w:sz w:val="24"/>
          <w:szCs w:val="24"/>
        </w:rPr>
        <w:t>However, to better reflect the contribution of health services research, we suggest:</w:t>
      </w:r>
    </w:p>
    <w:p w14:paraId="260A1B94" w14:textId="77777777" w:rsidR="00C96866" w:rsidRPr="00235F07" w:rsidRDefault="00C96866" w:rsidP="00C96866">
      <w:pPr>
        <w:shd w:val="clear" w:color="auto" w:fill="FFFFFF"/>
        <w:spacing w:after="0" w:line="240" w:lineRule="auto"/>
        <w:rPr>
          <w:rFonts w:ascii="Candara" w:hAnsi="Candara"/>
          <w:sz w:val="24"/>
          <w:szCs w:val="24"/>
        </w:rPr>
      </w:pPr>
    </w:p>
    <w:p w14:paraId="4EDA89C7" w14:textId="32954357" w:rsidR="00C96866" w:rsidRPr="00235F07" w:rsidRDefault="00235F07" w:rsidP="00C968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ndara" w:eastAsia="Times New Roman" w:hAnsi="Candara" w:cs="Segoe U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ndara" w:hAnsi="Candara"/>
          <w:sz w:val="24"/>
          <w:szCs w:val="24"/>
        </w:rPr>
        <w:t xml:space="preserve">Specific attention to </w:t>
      </w:r>
      <w:r w:rsidR="00631C02" w:rsidRPr="00235F07">
        <w:rPr>
          <w:rFonts w:ascii="Candara" w:hAnsi="Candara"/>
          <w:sz w:val="24"/>
          <w:szCs w:val="24"/>
        </w:rPr>
        <w:t>health services research</w:t>
      </w:r>
      <w:r w:rsidR="00516513"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expertise on UOA2 panel</w:t>
      </w:r>
      <w:r w:rsidR="00631C02"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, </w:t>
      </w:r>
      <w:r w:rsidR="00516513"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matching in terms of numbers/proportion </w:t>
      </w:r>
      <w:r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public health and primary care</w:t>
      </w:r>
      <w:r w:rsidR="00631C02"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lang w:eastAsia="en-GB"/>
          <w14:ligatures w14:val="none"/>
        </w:rPr>
        <w:t xml:space="preserve">, to ensure that </w:t>
      </w:r>
      <w:r>
        <w:rPr>
          <w:rFonts w:ascii="Candara" w:eastAsia="Times New Roman" w:hAnsi="Candara" w:cs="Segoe UI"/>
          <w:color w:val="000000"/>
          <w:kern w:val="0"/>
          <w:sz w:val="24"/>
          <w:szCs w:val="24"/>
          <w:lang w:eastAsia="en-GB"/>
          <w14:ligatures w14:val="none"/>
        </w:rPr>
        <w:t>returns are assessed appropriately</w:t>
      </w:r>
      <w:r w:rsidR="00C265F2">
        <w:rPr>
          <w:rFonts w:ascii="Candara" w:eastAsia="Times New Roman" w:hAnsi="Candara" w:cs="Segoe UI"/>
          <w:color w:val="000000"/>
          <w:kern w:val="0"/>
          <w:sz w:val="24"/>
          <w:szCs w:val="24"/>
          <w:lang w:eastAsia="en-GB"/>
          <w14:ligatures w14:val="none"/>
        </w:rPr>
        <w:t xml:space="preserve"> and </w:t>
      </w:r>
      <w:r>
        <w:rPr>
          <w:rFonts w:ascii="Candara" w:eastAsia="Times New Roman" w:hAnsi="Candara" w:cs="Segoe UI"/>
          <w:color w:val="000000"/>
          <w:kern w:val="0"/>
          <w:sz w:val="24"/>
          <w:szCs w:val="24"/>
          <w:lang w:eastAsia="en-GB"/>
          <w14:ligatures w14:val="none"/>
        </w:rPr>
        <w:t xml:space="preserve">open to </w:t>
      </w:r>
      <w:r w:rsidR="00C96866"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diverse methods, including </w:t>
      </w:r>
      <w:r w:rsidR="00516513"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qual</w:t>
      </w:r>
      <w:r w:rsidR="00C96866"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itative</w:t>
      </w:r>
      <w:r w:rsidR="00516513"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research</w:t>
      </w:r>
      <w:r w:rsidR="00516513"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, implementation </w:t>
      </w:r>
      <w:r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science </w:t>
      </w:r>
      <w:r w:rsidR="00C96866"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and </w:t>
      </w:r>
      <w:r w:rsidR="00516513"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policy research</w:t>
      </w:r>
      <w:r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.</w:t>
      </w:r>
    </w:p>
    <w:p w14:paraId="31EDA342" w14:textId="77777777" w:rsidR="00C96866" w:rsidRPr="00235F07" w:rsidRDefault="00C96866" w:rsidP="00C96866">
      <w:pPr>
        <w:shd w:val="clear" w:color="auto" w:fill="FFFFFF"/>
        <w:spacing w:after="0" w:line="240" w:lineRule="auto"/>
        <w:ind w:left="360"/>
        <w:rPr>
          <w:rFonts w:ascii="Candara" w:eastAsia="Times New Roman" w:hAnsi="Candara" w:cs="Segoe UI"/>
          <w:color w:val="000000"/>
          <w:kern w:val="0"/>
          <w:sz w:val="24"/>
          <w:szCs w:val="24"/>
          <w:lang w:eastAsia="en-GB"/>
          <w14:ligatures w14:val="none"/>
        </w:rPr>
      </w:pPr>
    </w:p>
    <w:p w14:paraId="25A8337F" w14:textId="1E32FF4B" w:rsidR="00516513" w:rsidRPr="00235F07" w:rsidRDefault="00235F07" w:rsidP="00C968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ndara" w:eastAsia="Times New Roman" w:hAnsi="Candara" w:cs="Segoe U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ndara" w:hAnsi="Candara"/>
          <w:sz w:val="24"/>
          <w:szCs w:val="24"/>
        </w:rPr>
        <w:t xml:space="preserve">Ensuring </w:t>
      </w:r>
      <w:r w:rsidR="00C96866" w:rsidRPr="00235F07">
        <w:rPr>
          <w:rFonts w:ascii="Candara" w:hAnsi="Candara"/>
          <w:sz w:val="24"/>
          <w:szCs w:val="24"/>
        </w:rPr>
        <w:t>health services research</w:t>
      </w:r>
      <w:r w:rsidR="00C96866"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expertise</w:t>
      </w:r>
      <w:r w:rsidR="00516513"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on other panels</w:t>
      </w:r>
      <w:r w:rsidR="00C96866"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, to ensure appropriate assessment of submissions across the wider UoAs, with appropriate </w:t>
      </w:r>
      <w:r w:rsidR="00516513"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cross referral to </w:t>
      </w:r>
      <w:r w:rsidRPr="00235F07">
        <w:rPr>
          <w:rFonts w:ascii="Candara" w:eastAsia="Times New Roman" w:hAnsi="Candara" w:cs="Segoe U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UoA2.</w:t>
      </w:r>
    </w:p>
    <w:p w14:paraId="513993E8" w14:textId="77777777" w:rsidR="00CB34A1" w:rsidRPr="00235F07" w:rsidRDefault="00CB34A1">
      <w:pPr>
        <w:rPr>
          <w:rFonts w:ascii="Candara" w:hAnsi="Candara"/>
          <w:sz w:val="24"/>
          <w:szCs w:val="24"/>
        </w:rPr>
      </w:pPr>
    </w:p>
    <w:p w14:paraId="26534D6D" w14:textId="77777777" w:rsidR="00516513" w:rsidRPr="00235F07" w:rsidRDefault="00516513">
      <w:pPr>
        <w:rPr>
          <w:rFonts w:ascii="Candara" w:hAnsi="Candara"/>
          <w:sz w:val="24"/>
          <w:szCs w:val="24"/>
        </w:rPr>
      </w:pPr>
    </w:p>
    <w:p w14:paraId="51D5BAAC" w14:textId="77777777" w:rsidR="00516513" w:rsidRPr="00235F07" w:rsidRDefault="00516513">
      <w:pPr>
        <w:rPr>
          <w:rFonts w:ascii="Candara" w:hAnsi="Candara"/>
          <w:sz w:val="24"/>
          <w:szCs w:val="24"/>
        </w:rPr>
      </w:pPr>
    </w:p>
    <w:sectPr w:rsidR="00516513" w:rsidRPr="00235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B33"/>
    <w:multiLevelType w:val="multilevel"/>
    <w:tmpl w:val="E068B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87077220">
    <w:abstractNumId w:val="0"/>
  </w:num>
  <w:num w:numId="2" w16cid:durableId="127212980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13"/>
    <w:rsid w:val="001E1E99"/>
    <w:rsid w:val="00235F07"/>
    <w:rsid w:val="00516513"/>
    <w:rsid w:val="00631C02"/>
    <w:rsid w:val="00C265F2"/>
    <w:rsid w:val="00C96866"/>
    <w:rsid w:val="00C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80F4"/>
  <w15:chartTrackingRefBased/>
  <w15:docId w15:val="{B12D4772-586A-4ECB-A59D-DB411D5C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1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1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C0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1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AC04E681B954C91AA5B1296A3052B" ma:contentTypeVersion="16" ma:contentTypeDescription="Create a new document." ma:contentTypeScope="" ma:versionID="d785fd98a87a553879791719e59877c6">
  <xsd:schema xmlns:xsd="http://www.w3.org/2001/XMLSchema" xmlns:xs="http://www.w3.org/2001/XMLSchema" xmlns:p="http://schemas.microsoft.com/office/2006/metadata/properties" xmlns:ns2="2dfbb81e-0653-421a-bdce-df16c174df71" xmlns:ns3="d10dafba-be75-4f4b-b6a3-8e27594e0825" targetNamespace="http://schemas.microsoft.com/office/2006/metadata/properties" ma:root="true" ma:fieldsID="ce18b43979d3dc361f431fb72400cfe0" ns2:_="" ns3:_="">
    <xsd:import namespace="2dfbb81e-0653-421a-bdce-df16c174df71"/>
    <xsd:import namespace="d10dafba-be75-4f4b-b6a3-8e27594e0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81e-0653-421a-bdce-df16c174d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4fd45c-893e-4891-8090-fa29f9aa5e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dafba-be75-4f4b-b6a3-8e27594e0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21cb0ed-5b22-474c-9f8b-5253fc8485cc}" ma:internalName="TaxCatchAll" ma:showField="CatchAllData" ma:web="d10dafba-be75-4f4b-b6a3-8e27594e0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C4A8F-9353-40BF-844B-6BA4C417F8DD}"/>
</file>

<file path=customXml/itemProps2.xml><?xml version="1.0" encoding="utf-8"?>
<ds:datastoreItem xmlns:ds="http://schemas.openxmlformats.org/officeDocument/2006/customXml" ds:itemID="{C052CEAF-70D8-45F0-BE34-4EB12CBB74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Bower</dc:creator>
  <cp:keywords/>
  <dc:description/>
  <cp:lastModifiedBy>Pete Bower</cp:lastModifiedBy>
  <cp:revision>5</cp:revision>
  <dcterms:created xsi:type="dcterms:W3CDTF">2023-09-22T10:27:00Z</dcterms:created>
  <dcterms:modified xsi:type="dcterms:W3CDTF">2023-09-25T13:34:00Z</dcterms:modified>
</cp:coreProperties>
</file>